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Promoción de la Salud y el Bienestar Policial.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6150"/>
                          <a:ext cx="5885815" cy="588582"/>
                          <a:chOff x="2403075" y="3496150"/>
                          <a:chExt cx="5885850" cy="567700"/>
                        </a:xfrm>
                      </wpg:grpSpPr>
                      <wpg:grpSp>
                        <wpg:cNvGrpSpPr/>
                        <wpg:grpSpPr>
                          <a:xfrm>
                            <a:off x="2403093" y="3496155"/>
                            <a:ext cx="5885815" cy="567690"/>
                            <a:chOff x="2402913" y="3481519"/>
                            <a:chExt cx="5886175" cy="5683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481519"/>
                              <a:ext cx="5886175" cy="56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481519"/>
                              <a:ext cx="5886175" cy="568327"/>
                              <a:chOff x="2311653" y="3573319"/>
                              <a:chExt cx="6068695" cy="42253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73319"/>
                                <a:ext cx="6068695" cy="401289"/>
                                <a:chOff x="0" y="-21261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595" y="-21261"/>
                                  <a:ext cx="5988051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aproximación a la prevención del suicidio, los consumos problemáticos y la problemática de los heridos en servicio.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88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widowControl w:val="1"/>
        <w:spacing w:after="280" w:before="28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Dirección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Provincial de Bienestar Integral del Personal Policial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propone un plan formativo para el personal policial con la finalidad proporcionar herramientas para identificar signos de alerta temprana del suicidio entre ellos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mismos y en sus compañeros, y tomar las medidas necesarias para prevenirlo. Asimismo se promueve la formación en factores que contribuyen </w:t>
      </w:r>
      <w:r w:rsidDel="00000000" w:rsidR="00000000" w:rsidRPr="00000000">
        <w:rPr>
          <w:rFonts w:ascii="Arial" w:cs="Arial" w:eastAsia="Arial" w:hAnsi="Arial"/>
          <w:rtl w:val="0"/>
        </w:rPr>
        <w:t xml:space="preserve">al consumo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problemático y opciones de tratamiento disponibles. Por último propone una reflexión sobre la comprensión de las necesidades psicológicas y sociales de los heridos en servicio, con el fin de brindar un acompañamiento efectivo. 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spacing w:before="139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policial afectado a oficinas de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ersonal de las Superintendencias Regionales de Seguridad y Personal de la Subsecretaría de Promoción de la Salud y el Bienestar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Policial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12 horas reloj.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septiembre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32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023204293000 interno 74016.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6kWFemIj95gKff9KZ+yNvyrQQ==">CgMxLjAyDmguMzhrOHlpbnpiMzE2OAByITFRTVRCSXJMTGZCZldoVGpKZF8xUERRakdoZjhTZmhPTQ==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2025-05-07T12:25:00Z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